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1134"/>
          <w:tab w:val="clear" w:pos="1077"/>
        </w:tabs>
        <w:ind w:firstLine="0"/>
        <w:jc w:val="center"/>
        <w:rPr>
          <w:sz w:val="23"/>
          <w:szCs w:val="23"/>
        </w:rPr>
      </w:pPr>
    </w:p>
    <w:p>
      <w:pPr>
        <w:pStyle w:val="8"/>
        <w:tabs>
          <w:tab w:val="left" w:pos="1134"/>
          <w:tab w:val="clear" w:pos="1077"/>
        </w:tabs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ДОГОВОР №_______</w:t>
      </w:r>
    </w:p>
    <w:p>
      <w:pPr>
        <w:pStyle w:val="8"/>
        <w:tabs>
          <w:tab w:val="left" w:pos="1134"/>
          <w:tab w:val="clear" w:pos="1077"/>
        </w:tabs>
        <w:spacing w:after="200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присоединения к Правилам функционирования сервиса E-POS в качестве Сервисного агрегатора</w:t>
      </w:r>
    </w:p>
    <w:p>
      <w:pPr>
        <w:pStyle w:val="8"/>
        <w:tabs>
          <w:tab w:val="left" w:pos="1134"/>
          <w:tab w:val="clear" w:pos="1077"/>
        </w:tabs>
        <w:spacing w:after="200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г. Минск                                                                                         «_____»_____________</w:t>
      </w:r>
      <w:r>
        <w:rPr>
          <w:rFonts w:eastAsia="Arial Unicode MS"/>
          <w:color w:val="000000"/>
          <w:sz w:val="23"/>
          <w:szCs w:val="23"/>
        </w:rPr>
        <w:t>20__</w:t>
      </w:r>
      <w:r>
        <w:rPr>
          <w:sz w:val="23"/>
          <w:szCs w:val="23"/>
        </w:rPr>
        <w:t xml:space="preserve"> г.</w:t>
      </w:r>
    </w:p>
    <w:p>
      <w:pPr>
        <w:spacing w:line="240" w:lineRule="auto"/>
        <w:ind w:firstLine="709"/>
        <w:jc w:val="both"/>
        <w:rPr>
          <w:rFonts w:ascii="Times New Roman" w:hAnsi="Times New Roman" w:eastAsia="Arial Unicode MS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Открытое акционерное общество «Небанковская кредитно-финансовая организация «Единое расчетное и информационное пространство», именуемое в дальнейшем Сервисный оператор, в лице </w:t>
      </w:r>
      <w:r>
        <w:rPr>
          <w:rFonts w:hint="default" w:ascii="Times New Roman" w:hAnsi="Times New Roman"/>
          <w:sz w:val="23"/>
          <w:szCs w:val="23"/>
          <w:lang w:val="en-US"/>
        </w:rPr>
        <w:t>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 xml:space="preserve">, действующего на основании </w:t>
      </w:r>
      <w:r>
        <w:rPr>
          <w:rFonts w:hint="default" w:ascii="Times New Roman" w:hAnsi="Times New Roman"/>
          <w:sz w:val="23"/>
          <w:szCs w:val="23"/>
          <w:lang w:val="en-US"/>
        </w:rPr>
        <w:t>___________________________________________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, с одной стороны, и ______________________________________________________________________________, именуемый (-ое) в дальнейшем Сервисный агрегатор в лице ______________________________________, действующего на основании _______________, с другой стороны, вместе именуемые в дальнейшем Стороны, заключили настоящий Договор на следующих условиях.</w:t>
      </w:r>
    </w:p>
    <w:p>
      <w:pPr>
        <w:pStyle w:val="8"/>
        <w:tabs>
          <w:tab w:val="left" w:pos="1134"/>
          <w:tab w:val="clear" w:pos="1077"/>
        </w:tabs>
        <w:spacing w:after="200"/>
        <w:ind w:firstLine="0"/>
        <w:jc w:val="center"/>
        <w:rPr>
          <w:sz w:val="23"/>
          <w:szCs w:val="23"/>
        </w:rPr>
      </w:pPr>
      <w:r>
        <w:rPr>
          <w:rFonts w:eastAsia="Arial Unicode MS"/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 ПРЕДМЕТ СОГЛАШЕНИЯ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1.1. Сервисный агрегатор в порядке и на условиях, предусмотренных Правилами функционирования сервиса E-POS (далее – Правила) и Регламентом взаимодействия участников сервиса E-POS (далее – Регламент взаимодействия), оказывает услуги по организации информационного взаимодействия между Производителем услуг и Сервисным оператором  в рамках организации  приема платежей Расчетными (Платежным) агентами по сервису E-POS  посредством АИС «Расчет» и предоставления услуги сервиса E-POS.  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1.2. Оплата оказываемых услуг осуществляется в соответствии с главой 8 Правил. </w:t>
      </w:r>
    </w:p>
    <w:p>
      <w:pPr>
        <w:pStyle w:val="8"/>
        <w:tabs>
          <w:tab w:val="left" w:pos="1134"/>
          <w:tab w:val="clear" w:pos="1077"/>
        </w:tabs>
        <w:spacing w:after="200"/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2. УСЛОВИЯ ДОГОВОРА ПРИСОЕДИНЕНИЯ</w:t>
      </w:r>
    </w:p>
    <w:p>
      <w:pPr>
        <w:pStyle w:val="8"/>
        <w:tabs>
          <w:tab w:val="left" w:pos="1134"/>
          <w:tab w:val="clear" w:pos="1077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2.1.</w:t>
      </w:r>
      <w:r>
        <w:rPr>
          <w:sz w:val="23"/>
          <w:szCs w:val="23"/>
          <w:lang w:val="en-US"/>
        </w:rPr>
        <w:t> </w:t>
      </w:r>
      <w:r>
        <w:rPr>
          <w:sz w:val="23"/>
          <w:szCs w:val="23"/>
        </w:rPr>
        <w:t>Настоящий Договор является договором присоединения.</w:t>
      </w:r>
    </w:p>
    <w:p>
      <w:pPr>
        <w:pStyle w:val="8"/>
        <w:tabs>
          <w:tab w:val="left" w:pos="1134"/>
          <w:tab w:val="clear" w:pos="1077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2.2.</w:t>
      </w:r>
      <w:r>
        <w:rPr>
          <w:sz w:val="23"/>
          <w:szCs w:val="23"/>
          <w:lang w:val="en-US"/>
        </w:rPr>
        <w:t> </w:t>
      </w:r>
      <w:r>
        <w:rPr>
          <w:sz w:val="23"/>
          <w:szCs w:val="23"/>
        </w:rPr>
        <w:t xml:space="preserve">Сервисный агрегатор ознакомлен с Правилами и Регламентом взаимодействия и в соответствии со статьей 398 Гражданского кодекса Республики Беларусь посредством настоящего Договора полностью и безусловно присоединяется к ним. </w:t>
      </w:r>
    </w:p>
    <w:p>
      <w:pPr>
        <w:pStyle w:val="8"/>
        <w:tabs>
          <w:tab w:val="left" w:pos="1134"/>
          <w:tab w:val="clear" w:pos="1077"/>
        </w:tabs>
        <w:ind w:firstLine="709"/>
        <w:rPr>
          <w:sz w:val="23"/>
          <w:szCs w:val="23"/>
        </w:rPr>
      </w:pPr>
      <w:r>
        <w:rPr>
          <w:sz w:val="23"/>
          <w:szCs w:val="23"/>
        </w:rPr>
        <w:t>2.3.</w:t>
      </w:r>
      <w:r>
        <w:rPr>
          <w:sz w:val="23"/>
          <w:szCs w:val="23"/>
          <w:lang w:val="en-US"/>
        </w:rPr>
        <w:t> </w:t>
      </w:r>
      <w:r>
        <w:rPr>
          <w:sz w:val="23"/>
          <w:szCs w:val="23"/>
        </w:rPr>
        <w:t>Факт присоединения Сервисного агрегатора к Правилам и Регламенту взаимодействия является полным принятием им положений вышеуказанных документов.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2.4. Сервисный агрегатор, присоединившийся к Правилам и Регламенту взаимодействия, принимает дальнейшие изменения (дополнения), вносимые в Правила и Регламент взаимодействия, в соответствии с порядком, указанным в Правилах и Регламенте взаимодействия.</w:t>
      </w:r>
    </w:p>
    <w:p>
      <w:pPr>
        <w:spacing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2.5 Права, обязанности и ответственность Сторон определяются Правилами.</w:t>
      </w:r>
    </w:p>
    <w:p>
      <w:pPr>
        <w:spacing w:after="16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ОПЛАТА УСЛУГ 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solid" w:color="FFFFFF" w:fill="auto"/>
        <w:tabs>
          <w:tab w:val="left" w:pos="1134"/>
        </w:tabs>
        <w:spacing w:after="0" w:line="24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3.1. Размер вознаграждения за услуги, оказываемые Сервисным агрегатором, и порядок их оплаты определяются Правилами.</w:t>
      </w:r>
    </w:p>
    <w:p>
      <w:pPr>
        <w:pStyle w:val="9"/>
        <w:spacing w:after="200"/>
        <w:ind w:left="0" w:firstLine="0"/>
        <w:jc w:val="center"/>
        <w:rPr>
          <w:sz w:val="23"/>
          <w:szCs w:val="23"/>
        </w:rPr>
      </w:pPr>
    </w:p>
    <w:p>
      <w:pPr>
        <w:pStyle w:val="9"/>
        <w:spacing w:after="200"/>
        <w:ind w:left="0" w:firstLine="0"/>
        <w:jc w:val="center"/>
        <w:rPr>
          <w:sz w:val="23"/>
          <w:szCs w:val="23"/>
        </w:rPr>
      </w:pPr>
      <w:r>
        <w:rPr>
          <w:sz w:val="23"/>
          <w:szCs w:val="23"/>
        </w:rPr>
        <w:t>4. РАЗРЕШЕНИЕ СПОРОВ</w:t>
      </w:r>
    </w:p>
    <w:p>
      <w:pPr>
        <w:pStyle w:val="7"/>
        <w:spacing w:before="0"/>
        <w:ind w:firstLine="709"/>
        <w:rPr>
          <w:rFonts w:ascii="Times New Roman" w:hAnsi="Times New Roman" w:eastAsia="Calibri" w:cs="Times New Roman"/>
          <w:color w:val="auto"/>
          <w:sz w:val="23"/>
          <w:szCs w:val="23"/>
        </w:rPr>
      </w:pPr>
      <w:r>
        <w:rPr>
          <w:rFonts w:ascii="Times New Roman" w:hAnsi="Times New Roman" w:eastAsia="Calibri" w:cs="Times New Roman"/>
          <w:color w:val="auto"/>
          <w:sz w:val="23"/>
          <w:szCs w:val="23"/>
        </w:rPr>
        <w:t>4.1. Порядок разрешения споров и разногласий, возникших между Сторонами по исполнению настоящего Договора или в связи с ним определяется Правилами.</w:t>
      </w:r>
    </w:p>
    <w:p>
      <w:pPr>
        <w:pStyle w:val="7"/>
        <w:spacing w:before="0" w:after="200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pStyle w:val="7"/>
        <w:spacing w:before="0" w:after="200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СРОК ДЕЙСТВИЯ ДОГОВОРА</w:t>
      </w:r>
    </w:p>
    <w:p>
      <w:pPr>
        <w:pStyle w:val="8"/>
        <w:tabs>
          <w:tab w:val="left" w:pos="1134"/>
          <w:tab w:val="clear" w:pos="1077"/>
        </w:tabs>
        <w:spacing w:after="200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Срок действия настоящего Договора определяется Правилами. </w:t>
      </w:r>
    </w:p>
    <w:p>
      <w:pPr>
        <w:pStyle w:val="8"/>
        <w:tabs>
          <w:tab w:val="left" w:pos="1134"/>
          <w:tab w:val="clear" w:pos="1077"/>
        </w:tabs>
        <w:spacing w:after="200"/>
        <w:ind w:firstLine="709"/>
        <w:rPr>
          <w:sz w:val="23"/>
          <w:szCs w:val="23"/>
        </w:rPr>
      </w:pPr>
    </w:p>
    <w:tbl>
      <w:tblPr>
        <w:tblStyle w:val="3"/>
        <w:tblW w:w="95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814"/>
        <w:gridCol w:w="1791"/>
        <w:gridCol w:w="2141"/>
        <w:gridCol w:w="1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tabs>
                <w:tab w:val="left" w:pos="1134"/>
                <w:tab w:val="clear" w:pos="1077"/>
              </w:tabs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Сервисного оператора</w:t>
            </w:r>
          </w:p>
        </w:tc>
        <w:tc>
          <w:tcPr>
            <w:tcW w:w="1814" w:type="dxa"/>
            <w:tcBorders>
              <w:top w:val="nil"/>
              <w:left w:val="nil"/>
              <w:bottom w:val="dotted" w:color="595959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tabs>
                <w:tab w:val="left" w:pos="1134"/>
                <w:tab w:val="clear" w:pos="1077"/>
              </w:tabs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tabs>
                <w:tab w:val="left" w:pos="1134"/>
                <w:tab w:val="clear" w:pos="1077"/>
              </w:tabs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tabs>
                <w:tab w:val="left" w:pos="1134"/>
                <w:tab w:val="clear" w:pos="1077"/>
              </w:tabs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Сервисного агрегатора</w:t>
            </w:r>
          </w:p>
        </w:tc>
        <w:tc>
          <w:tcPr>
            <w:tcW w:w="1945" w:type="dxa"/>
            <w:tcBorders>
              <w:top w:val="nil"/>
              <w:left w:val="nil"/>
              <w:bottom w:val="dotted" w:color="595959" w:sz="4" w:space="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tabs>
                <w:tab w:val="left" w:pos="1134"/>
                <w:tab w:val="clear" w:pos="1077"/>
              </w:tabs>
              <w:ind w:firstLine="0"/>
              <w:jc w:val="left"/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tabs>
                <w:tab w:val="left" w:pos="1134"/>
                <w:tab w:val="clear" w:pos="1077"/>
              </w:tabs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dotted" w:color="595959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tabs>
                <w:tab w:val="left" w:pos="1134"/>
                <w:tab w:val="clear" w:pos="1077"/>
              </w:tabs>
              <w:ind w:firstLine="0"/>
              <w:jc w:val="center"/>
              <w:rPr>
                <w:sz w:val="23"/>
                <w:szCs w:val="23"/>
              </w:rPr>
            </w:pPr>
            <w:r>
              <w:rPr>
                <w:rFonts w:eastAsia="Arial Unicode MS"/>
                <w:color w:val="595959"/>
                <w:sz w:val="23"/>
                <w:szCs w:val="23"/>
              </w:rPr>
              <w:t>Подпись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tabs>
                <w:tab w:val="left" w:pos="1134"/>
                <w:tab w:val="clear" w:pos="1077"/>
              </w:tabs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tabs>
                <w:tab w:val="left" w:pos="1134"/>
                <w:tab w:val="clear" w:pos="1077"/>
              </w:tabs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945" w:type="dxa"/>
            <w:tcBorders>
              <w:top w:val="dotted" w:color="595959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tabs>
                <w:tab w:val="left" w:pos="1134"/>
                <w:tab w:val="clear" w:pos="1077"/>
              </w:tabs>
              <w:ind w:firstLine="0"/>
              <w:jc w:val="center"/>
              <w:rPr>
                <w:sz w:val="23"/>
                <w:szCs w:val="23"/>
              </w:rPr>
            </w:pPr>
            <w:r>
              <w:rPr>
                <w:rFonts w:eastAsia="Arial Unicode MS"/>
                <w:color w:val="595959"/>
                <w:sz w:val="23"/>
                <w:szCs w:val="23"/>
              </w:rPr>
              <w:t>Подпись</w:t>
            </w:r>
          </w:p>
        </w:tc>
      </w:tr>
    </w:tbl>
    <w:p>
      <w:pPr>
        <w:pStyle w:val="7"/>
        <w:spacing w:before="0"/>
        <w:ind w:firstLine="709"/>
        <w:rPr>
          <w:rFonts w:ascii="Times New Roman" w:hAnsi="Times New Roman" w:eastAsia="Calibri" w:cs="Times New Roman"/>
          <w:color w:val="auto"/>
          <w:sz w:val="23"/>
          <w:szCs w:val="23"/>
        </w:rPr>
      </w:pPr>
    </w:p>
    <w:p>
      <w:pPr>
        <w:pStyle w:val="10"/>
        <w:spacing w:after="200"/>
        <w:jc w:val="center"/>
        <w:rPr>
          <w:rFonts w:ascii="Times New Roman" w:hAnsi="Times New Roman" w:eastAsia="Arial Unicode MS"/>
          <w:sz w:val="23"/>
          <w:szCs w:val="23"/>
        </w:rPr>
      </w:pPr>
      <w:r>
        <w:rPr>
          <w:rFonts w:ascii="Times New Roman" w:hAnsi="Times New Roman" w:eastAsia="Arial Unicode MS"/>
          <w:sz w:val="23"/>
          <w:szCs w:val="23"/>
        </w:rPr>
        <w:t>6. ИНЫЕ УСЛОВИЯ</w:t>
      </w:r>
    </w:p>
    <w:p>
      <w:pPr>
        <w:pStyle w:val="10"/>
        <w:ind w:firstLine="709"/>
        <w:jc w:val="both"/>
        <w:rPr>
          <w:rFonts w:ascii="Times New Roman" w:hAnsi="Times New Roman" w:eastAsia="Arial Unicode MS"/>
          <w:sz w:val="23"/>
          <w:szCs w:val="23"/>
        </w:rPr>
      </w:pPr>
      <w:r>
        <w:rPr>
          <w:rFonts w:ascii="Times New Roman" w:hAnsi="Times New Roman" w:eastAsia="Arial Unicode MS"/>
          <w:sz w:val="23"/>
          <w:szCs w:val="23"/>
        </w:rPr>
        <w:t>6.1. Если в течение срока действия настоящего Договора одно или несколько установленных им положений становятся недействительными (ничтожными) либо не имеющими юридической силы в соответствии с законодательством Республики Беларусь, то это обстоятельство не делает недействительными (ничтожными) либо не имеющими юридической силы иные положения настоящего Договора, который продолжает действовать в соответствующей части.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color w:val="000000"/>
          <w:sz w:val="23"/>
          <w:szCs w:val="23"/>
        </w:rPr>
      </w:pPr>
      <w:r>
        <w:rPr>
          <w:rFonts w:ascii="Times New Roman" w:hAnsi="Times New Roman" w:eastAsia="Times New Roman"/>
          <w:bCs/>
          <w:color w:val="000000"/>
          <w:sz w:val="23"/>
          <w:szCs w:val="23"/>
        </w:rPr>
        <w:t xml:space="preserve">6.2. Во всем </w:t>
      </w:r>
      <w:r>
        <w:rPr>
          <w:rFonts w:ascii="Times New Roman" w:hAnsi="Times New Roman" w:eastAsia="Arial Unicode MS"/>
          <w:color w:val="000000"/>
          <w:sz w:val="23"/>
          <w:szCs w:val="23"/>
        </w:rPr>
        <w:t>остальном</w:t>
      </w:r>
      <w:r>
        <w:rPr>
          <w:rFonts w:ascii="Times New Roman" w:hAnsi="Times New Roman" w:eastAsia="Times New Roman"/>
          <w:bCs/>
          <w:color w:val="000000"/>
          <w:sz w:val="23"/>
          <w:szCs w:val="23"/>
        </w:rPr>
        <w:t>, что не предусмотрено Правилами, Регламентом взаимодействия и настоящим Договором, Стороны руководствуются законодательством Республики Беларусь.</w:t>
      </w:r>
    </w:p>
    <w:p>
      <w:pPr>
        <w:spacing w:line="240" w:lineRule="auto"/>
        <w:ind w:firstLine="709"/>
        <w:jc w:val="both"/>
        <w:rPr>
          <w:rFonts w:ascii="Times New Roman" w:hAnsi="Times New Roman" w:eastAsia="Times New Roman"/>
          <w:bCs/>
          <w:color w:val="000000"/>
          <w:sz w:val="23"/>
          <w:szCs w:val="23"/>
        </w:rPr>
      </w:pPr>
    </w:p>
    <w:p>
      <w:pPr>
        <w:pStyle w:val="8"/>
        <w:tabs>
          <w:tab w:val="left" w:pos="1134"/>
          <w:tab w:val="clear" w:pos="1077"/>
        </w:tabs>
        <w:spacing w:before="120" w:after="120" w:line="228" w:lineRule="auto"/>
        <w:ind w:firstLine="0"/>
        <w:jc w:val="center"/>
        <w:rPr>
          <w:rFonts w:eastAsia="Times New Roman"/>
          <w:bCs/>
          <w:color w:val="000000"/>
          <w:sz w:val="23"/>
          <w:szCs w:val="23"/>
        </w:rPr>
      </w:pPr>
      <w:r>
        <w:rPr>
          <w:rFonts w:eastAsia="Times New Roman"/>
          <w:bCs/>
          <w:color w:val="000000"/>
          <w:sz w:val="23"/>
          <w:szCs w:val="23"/>
        </w:rPr>
        <w:t>ЮРИДИЧЕСКИЕ АДРЕСА, БАНКОВСКИЕ РЕКВИЗИТЫ И ПОДПИСИ СТОРОН</w:t>
      </w:r>
    </w:p>
    <w:p>
      <w:pPr>
        <w:pStyle w:val="8"/>
        <w:tabs>
          <w:tab w:val="left" w:pos="1134"/>
          <w:tab w:val="clear" w:pos="1077"/>
        </w:tabs>
        <w:spacing w:before="120" w:after="120" w:line="228" w:lineRule="auto"/>
        <w:ind w:firstLine="0"/>
        <w:jc w:val="center"/>
        <w:rPr>
          <w:rFonts w:eastAsia="Times New Roman"/>
          <w:bCs/>
          <w:color w:val="000000"/>
          <w:sz w:val="23"/>
          <w:szCs w:val="23"/>
        </w:rPr>
      </w:pPr>
    </w:p>
    <w:tbl>
      <w:tblPr>
        <w:tblStyle w:val="3"/>
        <w:tblW w:w="96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8"/>
        <w:gridCol w:w="440"/>
        <w:gridCol w:w="4645"/>
        <w:gridCol w:w="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blHeader/>
        </w:trPr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16" w:lineRule="auto"/>
              <w:ind w:right="9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Сервисный оператор</w:t>
            </w:r>
          </w:p>
          <w:p>
            <w:pPr>
              <w:spacing w:line="216" w:lineRule="auto"/>
              <w:ind w:right="9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tabs>
                <w:tab w:val="left" w:pos="1134"/>
                <w:tab w:val="clear" w:pos="1077"/>
              </w:tabs>
              <w:spacing w:line="216" w:lineRule="auto"/>
              <w:ind w:firstLine="0"/>
              <w:jc w:val="right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tabs>
                <w:tab w:val="left" w:pos="1134"/>
                <w:tab w:val="clear" w:pos="1077"/>
              </w:tabs>
              <w:spacing w:line="216" w:lineRule="auto"/>
              <w:ind w:firstLine="0"/>
              <w:jc w:val="right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/>
                <w:bCs/>
                <w:color w:val="000000"/>
                <w:sz w:val="23"/>
                <w:szCs w:val="23"/>
              </w:rPr>
              <w:t>Сервисный агрегатор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2507" w:hRule="atLeast"/>
          <w:tblHeader/>
        </w:trPr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Открытое акционерное общество «Небанковская кредитно-финансовая организация «Единое расчетное и информационное пространство»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 xml:space="preserve">220007, г. Минск, ул. Толстого, 6, 3 этаж, каб. 303,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 xml:space="preserve">счет для проведения расчетов в рамках Сервиса: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  <w:lang w:val="en-US"/>
              </w:rPr>
              <w:t xml:space="preserve">BY82 SSIS 3819 0000 0010 0000 0000,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БИК</w:t>
            </w: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  <w:lang w:val="en-US"/>
              </w:rPr>
              <w:t>: SSISBY25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УНП</w:t>
            </w: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  <w:lang w:val="en-US"/>
              </w:rPr>
              <w:t xml:space="preserve"> – 807000268,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ОКПО – 382684845000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tabs>
                <w:tab w:val="left" w:pos="1134"/>
                <w:tab w:val="clear" w:pos="1077"/>
              </w:tabs>
              <w:spacing w:line="216" w:lineRule="auto"/>
              <w:ind w:firstLine="0"/>
              <w:jc w:val="left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8"/>
              <w:tabs>
                <w:tab w:val="left" w:pos="1134"/>
                <w:tab w:val="clear" w:pos="1077"/>
              </w:tabs>
              <w:spacing w:line="216" w:lineRule="auto"/>
              <w:ind w:firstLine="0"/>
              <w:jc w:val="left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tblHeader/>
        </w:trPr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103"/>
              </w:tabs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От Сервисного оператор</w:t>
            </w:r>
            <w:r>
              <w:rPr>
                <w:sz w:val="23"/>
                <w:szCs w:val="23"/>
              </w:rPr>
              <w:t>а: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103"/>
              </w:tabs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103"/>
              </w:tabs>
              <w:jc w:val="right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От Сервисного агрегатора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  <w:tblHeader/>
        </w:trPr>
        <w:tc>
          <w:tcPr>
            <w:tcW w:w="4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103"/>
              </w:tabs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 xml:space="preserve">_________________ </w:t>
            </w:r>
          </w:p>
          <w:p>
            <w:pPr>
              <w:tabs>
                <w:tab w:val="left" w:pos="5103"/>
              </w:tabs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«__»________20__ г.</w:t>
            </w:r>
          </w:p>
          <w:p>
            <w:pPr>
              <w:tabs>
                <w:tab w:val="left" w:pos="5103"/>
              </w:tabs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103"/>
              </w:tabs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</w:p>
          <w:p>
            <w:pPr>
              <w:tabs>
                <w:tab w:val="left" w:pos="5103"/>
              </w:tabs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103"/>
              </w:tabs>
              <w:ind w:left="1876" w:hanging="1134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 xml:space="preserve">_________________ </w:t>
            </w:r>
          </w:p>
          <w:p>
            <w:pPr>
              <w:tabs>
                <w:tab w:val="left" w:pos="5103"/>
              </w:tabs>
              <w:ind w:left="1876" w:hanging="1134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«__»________20__ г.</w:t>
            </w:r>
          </w:p>
          <w:p>
            <w:pPr>
              <w:tabs>
                <w:tab w:val="left" w:pos="5103"/>
              </w:tabs>
              <w:ind w:left="1876" w:hanging="1134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  <w:t>М.П.</w:t>
            </w:r>
          </w:p>
          <w:p>
            <w:pPr>
              <w:tabs>
                <w:tab w:val="left" w:pos="5103"/>
              </w:tabs>
              <w:jc w:val="right"/>
              <w:rPr>
                <w:rFonts w:ascii="Times New Roman" w:hAnsi="Times New Roman" w:eastAsia="Times New Roman"/>
                <w:bCs/>
                <w:color w:val="000000"/>
                <w:sz w:val="23"/>
                <w:szCs w:val="23"/>
              </w:rPr>
            </w:pPr>
          </w:p>
        </w:tc>
      </w:tr>
    </w:tbl>
    <w:p/>
    <w:sectPr>
      <w:endnotePr>
        <w:numFmt w:val="decimal"/>
      </w:endnotePr>
      <w:pgSz w:w="11906" w:h="16838"/>
      <w:pgMar w:top="709" w:right="566" w:bottom="850" w:left="1701" w:header="0" w:footer="0" w:gutter="0"/>
      <w:paperSrc w:first="7" w:other="7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76"/>
    <w:rsid w:val="00077485"/>
    <w:rsid w:val="00435A10"/>
    <w:rsid w:val="004A2C0C"/>
    <w:rsid w:val="00937D72"/>
    <w:rsid w:val="00BB5F76"/>
    <w:rsid w:val="00C44136"/>
    <w:rsid w:val="00DA0F8C"/>
    <w:rsid w:val="00FD0292"/>
    <w:rsid w:val="4DD9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0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0"/>
    <w:pPr>
      <w:suppressAutoHyphens/>
      <w:spacing w:after="140" w:line="288" w:lineRule="auto"/>
      <w:jc w:val="both"/>
    </w:pPr>
    <w:rPr>
      <w:rFonts w:ascii="Times New Roman" w:hAnsi="Times New Roman"/>
      <w:sz w:val="30"/>
      <w:szCs w:val="20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solid" w:color="FFFFFF" w:fill="auto"/>
      <w:suppressAutoHyphens/>
      <w:spacing w:before="280" w:after="0" w:line="240" w:lineRule="auto"/>
      <w:jc w:val="both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customStyle="1" w:styleId="8">
    <w:name w:val="Пункт Положения"/>
    <w:basedOn w:val="1"/>
    <w:qFormat/>
    <w:uiPriority w:val="0"/>
    <w:pPr>
      <w:tabs>
        <w:tab w:val="left" w:pos="1077"/>
      </w:tabs>
      <w:suppressAutoHyphens/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paragraph" w:customStyle="1" w:styleId="9">
    <w:name w:val="Body Text Indent 21"/>
    <w:basedOn w:val="1"/>
    <w:qFormat/>
    <w:uiPriority w:val="0"/>
    <w:pPr>
      <w:suppressAutoHyphens/>
      <w:spacing w:after="0" w:line="240" w:lineRule="auto"/>
      <w:ind w:left="-708" w:firstLine="708"/>
      <w:contextualSpacing/>
      <w:jc w:val="both"/>
    </w:pPr>
    <w:rPr>
      <w:rFonts w:ascii="Times New Roman" w:hAnsi="Times New Roman" w:eastAsia="Times New Roman"/>
      <w:sz w:val="24"/>
      <w:szCs w:val="28"/>
    </w:rPr>
  </w:style>
  <w:style w:type="paragraph" w:customStyle="1" w:styleId="10">
    <w:name w:val="Default"/>
    <w:qFormat/>
    <w:uiPriority w:val="0"/>
    <w:pPr>
      <w:suppressAutoHyphens/>
      <w:spacing w:after="0" w:line="240" w:lineRule="auto"/>
    </w:pPr>
    <w:rPr>
      <w:rFonts w:ascii="Calibri" w:hAnsi="Calibri" w:eastAsia="Calibri" w:cs="Times New Roman"/>
      <w:color w:val="000000"/>
      <w:sz w:val="24"/>
      <w:szCs w:val="24"/>
      <w:lang w:val="ru-RU" w:eastAsia="zh-CN" w:bidi="ar-SA"/>
    </w:rPr>
  </w:style>
  <w:style w:type="paragraph" w:customStyle="1" w:styleId="11">
    <w:name w:val="Текст примечания1"/>
    <w:basedOn w:val="1"/>
    <w:qFormat/>
    <w:uiPriority w:val="0"/>
    <w:pPr>
      <w:spacing w:line="240" w:lineRule="auto"/>
    </w:pPr>
    <w:rPr>
      <w:sz w:val="20"/>
      <w:szCs w:val="20"/>
    </w:rPr>
  </w:style>
  <w:style w:type="paragraph" w:customStyle="1" w:styleId="12">
    <w:name w:val="Основной текст (2)"/>
    <w:basedOn w:val="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solid" w:color="FFFFFF" w:fill="auto"/>
      <w:spacing w:before="360" w:after="240" w:line="274" w:lineRule="exact"/>
      <w:ind w:left="709" w:hanging="760"/>
      <w:jc w:val="both"/>
    </w:pPr>
    <w:rPr>
      <w:rFonts w:ascii="Times New Roman" w:hAnsi="Times New Roman" w:eastAsia="Times New Roman"/>
    </w:rPr>
  </w:style>
  <w:style w:type="paragraph" w:customStyle="1" w:styleId="13">
    <w:name w:val="Text body"/>
    <w:basedOn w:val="1"/>
    <w:qFormat/>
    <w:uiPriority w:val="0"/>
    <w:pPr>
      <w:suppressAutoHyphens/>
      <w:spacing w:after="140" w:line="288" w:lineRule="auto"/>
    </w:pPr>
    <w:rPr>
      <w:rFonts w:cs="Tahoma"/>
      <w:color w:val="595959"/>
    </w:rPr>
  </w:style>
  <w:style w:type="paragraph" w:customStyle="1" w:styleId="14">
    <w:name w:val="Comment Text"/>
    <w:basedOn w:val="1"/>
    <w:qFormat/>
    <w:uiPriority w:val="0"/>
    <w:pPr>
      <w:spacing w:after="0" w:line="240" w:lineRule="auto"/>
    </w:pPr>
    <w:rPr>
      <w:sz w:val="20"/>
      <w:szCs w:val="20"/>
    </w:rPr>
  </w:style>
  <w:style w:type="paragraph" w:customStyle="1" w:styleId="15">
    <w:name w:val="Comment Subject"/>
    <w:basedOn w:val="14"/>
    <w:next w:val="14"/>
    <w:qFormat/>
    <w:uiPriority w:val="0"/>
    <w:rPr>
      <w:b/>
      <w:bCs/>
    </w:rPr>
  </w:style>
  <w:style w:type="character" w:customStyle="1" w:styleId="16">
    <w:name w:val="Знак примечания1"/>
    <w:basedOn w:val="2"/>
    <w:uiPriority w:val="0"/>
    <w:rPr>
      <w:sz w:val="16"/>
      <w:szCs w:val="16"/>
    </w:rPr>
  </w:style>
  <w:style w:type="character" w:customStyle="1" w:styleId="17">
    <w:name w:val="Текст примечания Знак"/>
    <w:basedOn w:val="2"/>
    <w:uiPriority w:val="0"/>
    <w:rPr>
      <w:sz w:val="20"/>
      <w:szCs w:val="20"/>
    </w:rPr>
  </w:style>
  <w:style w:type="character" w:customStyle="1" w:styleId="18">
    <w:name w:val="Текст выноски Знак"/>
    <w:basedOn w:val="2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F0E06E-48C1-4BAA-BB87-652C7A8D62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582</Words>
  <Characters>3318</Characters>
  <Lines>27</Lines>
  <Paragraphs>7</Paragraphs>
  <TotalTime>23</TotalTime>
  <ScaleCrop>false</ScaleCrop>
  <LinksUpToDate>false</LinksUpToDate>
  <CharactersWithSpaces>3893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2019-05-10T11:56:00Z</dcterms:created>
  <dc:creator>Гороховик</dc:creator>
  <cp:lastModifiedBy>a.lozovik</cp:lastModifiedBy>
  <cp:lastPrinted>2020-03-18T12:58:00Z</cp:lastPrinted>
  <dcterms:modified xsi:type="dcterms:W3CDTF">2022-04-22T06:59:24Z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D0BB067937C44BD3BA89A07D24827448</vt:lpwstr>
  </property>
</Properties>
</file>