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4"/>
        <w:tabs>
          <w:tab w:val="left" w:pos="1134"/>
        </w:tabs>
        <w:ind w:left="-720" w:firstLine="720"/>
        <w:jc w:val="center"/>
      </w:pPr>
      <w:r>
        <w:rPr>
          <w:sz w:val="22"/>
          <w:szCs w:val="22"/>
        </w:rPr>
        <w:t>ДОГОВОР ПРИСОЕДИНЕНИЯ №_______</w:t>
      </w:r>
    </w:p>
    <w:p>
      <w:pPr>
        <w:pStyle w:val="44"/>
        <w:tabs>
          <w:tab w:val="left" w:pos="1134"/>
        </w:tabs>
        <w:ind w:left="-720" w:firstLine="720"/>
        <w:jc w:val="center"/>
      </w:pPr>
      <w:r>
        <w:rPr>
          <w:sz w:val="22"/>
          <w:szCs w:val="22"/>
        </w:rPr>
        <w:t>на оказание услуг лицу, действующему в АИС ”Расчет“ в качестве Производителя услуг</w:t>
      </w:r>
    </w:p>
    <w:p>
      <w:pPr>
        <w:pStyle w:val="44"/>
        <w:tabs>
          <w:tab w:val="left" w:pos="1134"/>
        </w:tabs>
        <w:spacing w:line="280" w:lineRule="exact"/>
        <w:ind w:left="-720" w:firstLine="720"/>
        <w:jc w:val="center"/>
        <w:rPr>
          <w:sz w:val="22"/>
          <w:szCs w:val="22"/>
        </w:rPr>
      </w:pPr>
    </w:p>
    <w:p>
      <w:pPr>
        <w:pStyle w:val="44"/>
        <w:tabs>
          <w:tab w:val="left" w:pos="1134"/>
        </w:tabs>
        <w:spacing w:line="280" w:lineRule="exact"/>
        <w:ind w:left="-720" w:firstLine="720"/>
        <w:jc w:val="center"/>
      </w:pPr>
      <w:r>
        <w:rPr>
          <w:sz w:val="22"/>
          <w:szCs w:val="22"/>
        </w:rPr>
        <w:t xml:space="preserve">г. </w:t>
      </w:r>
      <w:r>
        <w:rPr>
          <w:sz w:val="22"/>
          <w:szCs w:val="22"/>
          <w:lang w:val="ru-RU"/>
        </w:rPr>
        <w:t>Гомель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”_____“_____________202</w:t>
      </w:r>
      <w:r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г.</w:t>
      </w:r>
    </w:p>
    <w:p>
      <w:pPr>
        <w:pStyle w:val="44"/>
        <w:tabs>
          <w:tab w:val="left" w:pos="1134"/>
        </w:tabs>
        <w:spacing w:line="280" w:lineRule="exact"/>
        <w:ind w:left="-720" w:firstLine="720"/>
        <w:jc w:val="center"/>
        <w:rPr>
          <w:sz w:val="22"/>
          <w:szCs w:val="22"/>
        </w:rPr>
      </w:pPr>
    </w:p>
    <w:p>
      <w:pPr>
        <w:spacing w:line="228" w:lineRule="auto"/>
        <w:ind w:firstLine="708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Открытое акционерное общество ”Небанковская кредитно-финансовая организация ”Единое расчетное и информационное пространство“, именуемое в дальнейшем Владелец, в лице </w:t>
      </w:r>
      <w:r>
        <w:rPr>
          <w:rFonts w:eastAsia="Calibri" w:cs="Times New Roman"/>
          <w:sz w:val="22"/>
          <w:szCs w:val="22"/>
          <w:lang w:eastAsia="ar-SA"/>
        </w:rPr>
        <w:t>начальника отдела по Гомельской области Управления развития региональной сети Поршнева Александра Олеговича</w:t>
      </w:r>
      <w:r>
        <w:rPr>
          <w:rFonts w:eastAsia="Calibri" w:cs="Times New Roman"/>
          <w:sz w:val="22"/>
          <w:szCs w:val="22"/>
        </w:rPr>
        <w:t>, действующего на основании доверенности от</w:t>
      </w:r>
      <w:r>
        <w:rPr>
          <w:rFonts w:hint="default" w:cs="Times New Roman"/>
          <w:sz w:val="22"/>
          <w:szCs w:val="22"/>
          <w:lang w:val="ru-RU"/>
        </w:rPr>
        <w:t xml:space="preserve"> 23.03.2021 г. №14/2021</w:t>
      </w:r>
      <w:r>
        <w:rPr>
          <w:rFonts w:eastAsia="Calibri" w:cs="Times New Roman"/>
          <w:sz w:val="22"/>
          <w:szCs w:val="22"/>
        </w:rPr>
        <w:t>, с одной стороны, и __________________________</w:t>
      </w:r>
      <w:r>
        <w:rPr>
          <w:rFonts w:eastAsia="Calibri" w:cs="Times New Roman"/>
          <w:sz w:val="22"/>
          <w:szCs w:val="22"/>
          <w:lang w:val="ru-RU"/>
        </w:rPr>
        <w:t>________</w:t>
      </w:r>
      <w:r>
        <w:rPr>
          <w:rFonts w:eastAsia="Calibri" w:cs="Times New Roman"/>
          <w:sz w:val="22"/>
          <w:szCs w:val="22"/>
        </w:rPr>
        <w:t>______________________</w:t>
      </w:r>
      <w:r>
        <w:rPr>
          <w:rFonts w:eastAsia="Calibri" w:cs="Times New Roman"/>
          <w:sz w:val="22"/>
          <w:szCs w:val="22"/>
          <w:lang w:val="ru-RU"/>
        </w:rPr>
        <w:t>_</w:t>
      </w:r>
      <w:r>
        <w:rPr>
          <w:rFonts w:eastAsia="Calibri" w:cs="Times New Roman"/>
          <w:sz w:val="22"/>
          <w:szCs w:val="22"/>
        </w:rPr>
        <w:t>______________________________, именуемый (ое) в дальнейшем Производитель услуг, в лице ________________________________, действующего на основании _______________, с другой стороны, вместе именуемые в дальнейшем Стороны, заключили настоящий Договор о следующем.</w:t>
      </w:r>
    </w:p>
    <w:p>
      <w:pPr>
        <w:ind w:firstLine="709"/>
        <w:rPr>
          <w:sz w:val="22"/>
          <w:szCs w:val="22"/>
        </w:rPr>
      </w:pPr>
    </w:p>
    <w:p>
      <w:pPr>
        <w:pStyle w:val="44"/>
        <w:tabs>
          <w:tab w:val="left" w:pos="1134"/>
        </w:tabs>
        <w:spacing w:line="228" w:lineRule="auto"/>
        <w:ind w:left="-720" w:firstLine="720"/>
        <w:jc w:val="center"/>
      </w:pPr>
      <w:r>
        <w:rPr>
          <w:sz w:val="22"/>
          <w:szCs w:val="22"/>
        </w:rPr>
        <w:t>1. ПРЕДМЕТ ДОГОВОРА</w:t>
      </w:r>
    </w:p>
    <w:p>
      <w:pPr>
        <w:spacing w:line="228" w:lineRule="auto"/>
        <w:ind w:firstLine="708"/>
      </w:pPr>
      <w:r>
        <w:rPr>
          <w:sz w:val="22"/>
          <w:szCs w:val="22"/>
        </w:rPr>
        <w:t xml:space="preserve">Владелец в порядке и на условиях, предусмотренных Общими условиями участия Производителя услуг в АИС ”Расчет“ (далее – Общие условия), Регламентом информационного взаимодействия Владельца и Производителя услуг, а также в соответствии с Инструкцией о порядке функционирования единого расчетного и информационного пространства Республики Беларусь, утвержденной постановлением Правления Национального банка Республики Беларусь от 10 июня 2014 г. № 393 (далее – Инструкция), предоставляет Производителю услуг услугу по подключению к АИС ”Расчет“ для организации </w:t>
      </w:r>
      <w:r>
        <w:rPr>
          <w:bCs/>
          <w:color w:val="000000"/>
          <w:sz w:val="22"/>
          <w:szCs w:val="22"/>
        </w:rPr>
        <w:t xml:space="preserve">посредством АИС ”Расчет“ платежей в пользу Производителя услуг (платежей в бюджет) и проведения расчетов по совершенным посредством АИС ”Расчет“ платежам в порядке, установленном законодательством и Инструкцией, а </w:t>
      </w:r>
      <w:r>
        <w:rPr>
          <w:sz w:val="22"/>
          <w:szCs w:val="22"/>
        </w:rPr>
        <w:t xml:space="preserve">Производитель услуг обязуется принять и  оплатить оказанные услуги в соответствии с порядком и сроками, установленными Общими условиями. </w:t>
      </w:r>
    </w:p>
    <w:p>
      <w:pPr>
        <w:spacing w:line="228" w:lineRule="auto"/>
        <w:ind w:firstLine="709"/>
        <w:rPr>
          <w:sz w:val="22"/>
          <w:szCs w:val="22"/>
        </w:rPr>
      </w:pPr>
    </w:p>
    <w:p>
      <w:pPr>
        <w:pStyle w:val="44"/>
        <w:tabs>
          <w:tab w:val="left" w:pos="1134"/>
        </w:tabs>
        <w:spacing w:line="228" w:lineRule="auto"/>
        <w:ind w:left="-720" w:firstLine="720"/>
        <w:jc w:val="center"/>
      </w:pPr>
      <w:r>
        <w:rPr>
          <w:sz w:val="22"/>
          <w:szCs w:val="22"/>
        </w:rPr>
        <w:t>2. УСЛОВИЯ ДОГОВОРА ПРИСОЕДИНЕНИЯ</w:t>
      </w:r>
    </w:p>
    <w:p>
      <w:pPr>
        <w:pStyle w:val="44"/>
        <w:tabs>
          <w:tab w:val="clear" w:pos="1077"/>
        </w:tabs>
        <w:spacing w:line="228" w:lineRule="auto"/>
        <w:ind w:left="-12" w:firstLine="720"/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Настоящий Договор является договором присоединения.</w:t>
      </w:r>
    </w:p>
    <w:p>
      <w:pPr>
        <w:pStyle w:val="44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2.2.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Производитель услуг в соответствии со статьей 398 Гражданского кодекса Республики Беларусь посредством настоящего Договора полностью и безусловно присоединяется к Общим условиям, опубликованным в глобальной компьютерной сети Интернет на сайте 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.</w:t>
      </w:r>
    </w:p>
    <w:p>
      <w:pPr>
        <w:pStyle w:val="44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Факт присоединения Производителя услуг к Общим условиям Производителя услуг является полным принятием им положений Общих условий.</w:t>
      </w:r>
    </w:p>
    <w:p>
      <w:pPr>
        <w:pStyle w:val="44"/>
        <w:tabs>
          <w:tab w:val="clear" w:pos="1077"/>
        </w:tabs>
        <w:spacing w:line="228" w:lineRule="auto"/>
        <w:ind w:firstLine="0"/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2.4.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Производитель услуг, присоединившийся к Общим условиям, принимает дальнейшие изменения (дополнения), вносимые в Общие условия, в соответствии с принципами, указанными в Общих условиях.</w:t>
      </w:r>
    </w:p>
    <w:p>
      <w:pPr>
        <w:pStyle w:val="44"/>
        <w:tabs>
          <w:tab w:val="left" w:pos="1134"/>
        </w:tabs>
        <w:spacing w:line="228" w:lineRule="auto"/>
        <w:ind w:left="-720" w:firstLine="709"/>
        <w:rPr>
          <w:sz w:val="22"/>
          <w:szCs w:val="22"/>
        </w:rPr>
      </w:pPr>
    </w:p>
    <w:p>
      <w:pPr>
        <w:pStyle w:val="44"/>
        <w:tabs>
          <w:tab w:val="left" w:pos="1134"/>
        </w:tabs>
        <w:spacing w:line="228" w:lineRule="auto"/>
        <w:ind w:left="-720" w:firstLine="709"/>
        <w:jc w:val="center"/>
      </w:pPr>
      <w:r>
        <w:rPr>
          <w:sz w:val="22"/>
          <w:szCs w:val="22"/>
        </w:rPr>
        <w:t>3. РАЗМЕР ВОЗНАГРАЖДЕНИЯ</w:t>
      </w:r>
    </w:p>
    <w:p>
      <w:pPr>
        <w:widowControl w:val="0"/>
        <w:spacing w:line="228" w:lineRule="auto"/>
        <w:ind w:firstLine="708"/>
      </w:pPr>
      <w:r>
        <w:rPr>
          <w:sz w:val="22"/>
          <w:szCs w:val="22"/>
        </w:rPr>
        <w:t xml:space="preserve">3.1. 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«Небанковская кредитно-финансовая организация «ЕРИП» (и другими участниками ЕРИП), опубликованного в глобальной компьютерной сети Интернет на сайте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raschet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 xml:space="preserve">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тариф «Дифференцированный».</w:t>
      </w:r>
    </w:p>
    <w:p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</w:pPr>
      <w:r>
        <w:rPr>
          <w:sz w:val="22"/>
          <w:szCs w:val="22"/>
        </w:rPr>
        <w:t xml:space="preserve">3.2. 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  </w:t>
      </w:r>
    </w:p>
    <w:p>
      <w:pPr>
        <w:pStyle w:val="45"/>
        <w:spacing w:line="228" w:lineRule="auto"/>
        <w:ind w:left="-709" w:firstLine="709"/>
        <w:jc w:val="center"/>
        <w:rPr>
          <w:sz w:val="22"/>
          <w:szCs w:val="22"/>
          <w:lang w:val="en-US"/>
        </w:rPr>
      </w:pPr>
    </w:p>
    <w:p>
      <w:pPr>
        <w:pStyle w:val="45"/>
        <w:spacing w:line="228" w:lineRule="auto"/>
        <w:ind w:left="-709" w:firstLine="709"/>
        <w:jc w:val="center"/>
      </w:pPr>
      <w:r>
        <w:rPr>
          <w:sz w:val="22"/>
          <w:szCs w:val="22"/>
        </w:rPr>
        <w:t>4. РАЗРЕШЕНИЕ СПОРОВ</w:t>
      </w:r>
    </w:p>
    <w:p>
      <w:pPr>
        <w:pStyle w:val="7"/>
        <w:shd w:val="clear" w:fill="FFFFFF"/>
        <w:spacing w:before="0" w:after="0" w:line="228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 Все споры и разногласия, возникшие между Сторонами по исполнению настоящего Договора или в связи с ним, разрешаются либо путем проведения переговоров (с оформлением </w:t>
      </w:r>
    </w:p>
    <w:p>
      <w:pPr>
        <w:pStyle w:val="7"/>
        <w:shd w:val="clear" w:fill="FFFFFF"/>
        <w:spacing w:before="0" w:after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7"/>
        <w:shd w:val="clear" w:fill="FFFFFF"/>
        <w:spacing w:before="0" w:after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3"/>
        <w:tblW w:w="9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174"/>
        <w:gridCol w:w="1791"/>
        <w:gridCol w:w="2141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left"/>
            </w:pPr>
            <w:r>
              <w:rPr>
                <w:sz w:val="18"/>
                <w:szCs w:val="18"/>
              </w:rPr>
              <w:t>от Владельца</w:t>
            </w:r>
          </w:p>
        </w:tc>
        <w:tc>
          <w:tcPr>
            <w:tcW w:w="2174" w:type="dxa"/>
            <w:tcBorders>
              <w:bottom w:val="dotted" w:color="595959" w:sz="4" w:space="0"/>
              <w:insideH w:val="dotted" w:sz="4" w:space="0"/>
            </w:tcBorders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left"/>
            </w:pPr>
          </w:p>
        </w:tc>
        <w:tc>
          <w:tcPr>
            <w:tcW w:w="1791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left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left"/>
            </w:pPr>
            <w:r>
              <w:rPr>
                <w:sz w:val="18"/>
                <w:szCs w:val="18"/>
              </w:rPr>
              <w:t>от Производителя услуг</w:t>
            </w:r>
          </w:p>
        </w:tc>
        <w:tc>
          <w:tcPr>
            <w:tcW w:w="1947" w:type="dxa"/>
            <w:tcBorders>
              <w:bottom w:val="dotted" w:color="595959" w:sz="4" w:space="0"/>
              <w:insideH w:val="dotted" w:sz="4" w:space="0"/>
            </w:tcBorders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center"/>
            </w:pPr>
          </w:p>
        </w:tc>
        <w:tc>
          <w:tcPr>
            <w:tcW w:w="2174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  <w:tc>
          <w:tcPr>
            <w:tcW w:w="1791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center"/>
            </w:pPr>
          </w:p>
        </w:tc>
        <w:tc>
          <w:tcPr>
            <w:tcW w:w="2141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center"/>
            </w:pPr>
          </w:p>
        </w:tc>
        <w:tc>
          <w:tcPr>
            <w:tcW w:w="1947" w:type="dxa"/>
            <w:tcBorders>
              <w:top w:val="dotted" w:color="595959" w:sz="4" w:space="0"/>
            </w:tcBorders>
            <w:shd w:val="clear" w:color="auto" w:fill="auto"/>
          </w:tcPr>
          <w:p>
            <w:pPr>
              <w:pStyle w:val="44"/>
              <w:tabs>
                <w:tab w:val="left" w:pos="1134"/>
              </w:tabs>
              <w:ind w:left="-720" w:firstLine="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</w:tr>
    </w:tbl>
    <w:p>
      <w:pPr>
        <w:pStyle w:val="7"/>
        <w:shd w:val="clear" w:fill="FFFFFF"/>
        <w:spacing w:before="0" w:after="0" w:line="228" w:lineRule="auto"/>
      </w:pPr>
    </w:p>
    <w:p>
      <w:pPr>
        <w:pStyle w:val="7"/>
        <w:shd w:val="clear" w:fill="FFFFFF"/>
        <w:spacing w:before="0" w:after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>
      <w:pPr>
        <w:pStyle w:val="7"/>
        <w:shd w:val="clear" w:fill="FFFFFF"/>
        <w:spacing w:before="0" w:after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протокола переговоров) либо в претензионном порядке. В случае разрешения споров и разногласий в </w:t>
      </w:r>
    </w:p>
    <w:p>
      <w:pPr>
        <w:pStyle w:val="7"/>
        <w:shd w:val="clear" w:fill="FFFFFF"/>
        <w:spacing w:before="0" w:after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претензионном порядке, получившая претензию Сторона обязана направить письменный ответ другой Стороне в 30-дневный срок со дня ее получения.</w:t>
      </w:r>
    </w:p>
    <w:p>
      <w:pPr>
        <w:pStyle w:val="7"/>
        <w:shd w:val="clear" w:fill="FFFFFF"/>
        <w:spacing w:before="0" w:after="0" w:line="228" w:lineRule="auto"/>
        <w:ind w:firstLine="708"/>
      </w:pPr>
      <w:r>
        <w:rPr>
          <w:rFonts w:ascii="Times New Roman" w:hAnsi="Times New Roman" w:cs="Times New Roman"/>
          <w:sz w:val="22"/>
          <w:szCs w:val="22"/>
        </w:rPr>
        <w:t>4.2. Споры, не урегулированные вышеуказанным способом, передаются на рассмотрение в Экономический суд г. Минска в соответствии с законодательством Республики Беларусь.</w:t>
      </w:r>
    </w:p>
    <w:p>
      <w:pPr>
        <w:pStyle w:val="7"/>
        <w:shd w:val="clear" w:fill="FFFFFF"/>
        <w:spacing w:before="0" w:after="0" w:line="228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7"/>
        <w:shd w:val="clear" w:fill="FFFFFF"/>
        <w:spacing w:before="0" w:after="0" w:line="228" w:lineRule="auto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>
      <w:pPr>
        <w:pStyle w:val="44"/>
        <w:tabs>
          <w:tab w:val="clear" w:pos="1077"/>
        </w:tabs>
        <w:spacing w:line="228" w:lineRule="auto"/>
        <w:ind w:left="-720" w:firstLine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Срок действия Договора определяется Общими условиями.</w:t>
      </w:r>
    </w:p>
    <w:p>
      <w:pPr>
        <w:pStyle w:val="44"/>
        <w:tabs>
          <w:tab w:val="left" w:pos="1134"/>
        </w:tabs>
        <w:spacing w:line="228" w:lineRule="auto"/>
        <w:ind w:left="-720" w:firstLine="680"/>
        <w:rPr>
          <w:rFonts w:eastAsia="Times New Roman"/>
          <w:bCs/>
          <w:sz w:val="22"/>
          <w:szCs w:val="22"/>
        </w:rPr>
      </w:pPr>
    </w:p>
    <w:p>
      <w:pPr>
        <w:pStyle w:val="46"/>
        <w:spacing w:line="228" w:lineRule="auto"/>
        <w:jc w:val="center"/>
      </w:pPr>
      <w:r>
        <w:rPr>
          <w:rFonts w:eastAsia="Times New Roman"/>
          <w:bCs/>
          <w:sz w:val="22"/>
          <w:szCs w:val="22"/>
        </w:rPr>
        <w:t>6. ИНЫЕ УСЛОВИЯ</w:t>
      </w:r>
    </w:p>
    <w:p>
      <w:pPr>
        <w:pStyle w:val="46"/>
        <w:spacing w:line="228" w:lineRule="auto"/>
        <w:ind w:firstLine="708"/>
        <w:jc w:val="both"/>
      </w:pPr>
      <w:r>
        <w:rPr>
          <w:rFonts w:eastAsia="Times New Roman"/>
          <w:bCs/>
          <w:sz w:val="22"/>
          <w:szCs w:val="22"/>
        </w:rPr>
        <w:t>6.1.</w:t>
      </w:r>
      <w:r>
        <w:rPr>
          <w:rFonts w:eastAsia="Times New Roman"/>
          <w:bCs/>
          <w:sz w:val="22"/>
          <w:szCs w:val="22"/>
          <w:lang w:val="en-US"/>
        </w:rPr>
        <w:t> </w:t>
      </w:r>
      <w:r>
        <w:rPr>
          <w:rFonts w:eastAsia="Times New Roman"/>
          <w:bCs/>
          <w:sz w:val="22"/>
          <w:szCs w:val="22"/>
        </w:rPr>
        <w:t>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spacing w:line="228" w:lineRule="auto"/>
        <w:ind w:firstLine="708"/>
      </w:pPr>
      <w:r>
        <w:rPr>
          <w:sz w:val="22"/>
          <w:szCs w:val="22"/>
        </w:rPr>
        <w:t>6.2.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>
      <w:pPr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6.3. 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 </w:t>
      </w:r>
    </w:p>
    <w:p>
      <w:pPr>
        <w:spacing w:line="228" w:lineRule="auto"/>
        <w:rPr>
          <w:sz w:val="22"/>
          <w:szCs w:val="22"/>
        </w:rPr>
      </w:pPr>
    </w:p>
    <w:p>
      <w:pPr>
        <w:spacing w:line="228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Приложение: Регламент информационного взаимодействия Владельца и Производителя услуг в АИС ”Расчет“ на 1 л. является неотъемлемой частью настоящего Договора.</w:t>
      </w:r>
    </w:p>
    <w:p>
      <w:pPr>
        <w:spacing w:line="228" w:lineRule="auto"/>
        <w:rPr>
          <w:sz w:val="22"/>
          <w:szCs w:val="22"/>
          <w:lang w:val="en-US"/>
        </w:rPr>
      </w:pPr>
    </w:p>
    <w:p>
      <w:pPr>
        <w:pStyle w:val="44"/>
        <w:tabs>
          <w:tab w:val="left" w:pos="1134"/>
        </w:tabs>
        <w:spacing w:before="120" w:after="120" w:line="228" w:lineRule="auto"/>
        <w:ind w:left="-720" w:firstLine="720"/>
        <w:jc w:val="center"/>
      </w:pPr>
      <w:r>
        <w:rPr>
          <w:sz w:val="22"/>
          <w:szCs w:val="22"/>
        </w:rPr>
        <w:t>ЮРИДИЧЕСКИЕ АДРЕСА, БАНКОВСКИЕ РЕКВИЗИТЫ И ПОДПИСИ СТОРОН</w:t>
      </w:r>
    </w:p>
    <w:p>
      <w:pPr>
        <w:pStyle w:val="44"/>
        <w:tabs>
          <w:tab w:val="left" w:pos="1134"/>
        </w:tabs>
        <w:spacing w:before="120" w:after="120" w:line="228" w:lineRule="auto"/>
        <w:ind w:left="-720" w:firstLine="720"/>
        <w:jc w:val="center"/>
        <w:rPr>
          <w:sz w:val="24"/>
          <w:szCs w:val="24"/>
        </w:rPr>
      </w:pPr>
    </w:p>
    <w:tbl>
      <w:tblPr>
        <w:tblStyle w:val="3"/>
        <w:tblW w:w="9431" w:type="dxa"/>
        <w:tblInd w:w="-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709"/>
        <w:gridCol w:w="4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spacing w:line="216" w:lineRule="auto"/>
              <w:ind w:right="9" w:firstLine="0"/>
              <w:jc w:val="left"/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 w:firstLine="720"/>
              <w:jc w:val="righ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 w:firstLine="720"/>
              <w:jc w:val="right"/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shd w:val="clear" w:color="auto" w:fill="auto"/>
          </w:tcPr>
          <w:p>
            <w:pPr>
              <w:spacing w:line="280" w:lineRule="exact"/>
            </w:pPr>
            <w:r>
              <w:rPr>
                <w:sz w:val="22"/>
                <w:szCs w:val="22"/>
              </w:rP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>
            <w:pPr>
              <w:spacing w:line="280" w:lineRule="exact"/>
              <w:rPr>
                <w:sz w:val="22"/>
                <w:szCs w:val="22"/>
              </w:rPr>
            </w:pP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220007, г. Минск, ул. Толстого, 6, 3 этаж, каб. 303,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>счет BY54 NBRB 3202 0034 5000 3000 0000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в Национальном банке, </w:t>
            </w:r>
          </w:p>
          <w:p>
            <w:pPr>
              <w:spacing w:line="280" w:lineRule="exact"/>
            </w:pPr>
            <w:r>
              <w:rPr>
                <w:sz w:val="22"/>
                <w:szCs w:val="22"/>
              </w:rPr>
              <w:t xml:space="preserve">БИК: </w:t>
            </w:r>
            <w:r>
              <w:rPr>
                <w:sz w:val="22"/>
                <w:szCs w:val="22"/>
                <w:lang w:val="en-US"/>
              </w:rPr>
              <w:t>NBRBBY2X</w:t>
            </w:r>
          </w:p>
          <w:p>
            <w:pPr>
              <w:spacing w:line="280" w:lineRule="exact"/>
              <w:rPr>
                <w:sz w:val="22"/>
                <w:szCs w:val="22"/>
                <w:lang w:val="en-US"/>
              </w:rPr>
            </w:pP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 xml:space="preserve">УНП – 807000268, </w:t>
            </w:r>
          </w:p>
          <w:p>
            <w:pPr>
              <w:spacing w:line="216" w:lineRule="auto"/>
            </w:pPr>
            <w:r>
              <w:rPr>
                <w:sz w:val="22"/>
                <w:szCs w:val="22"/>
              </w:rPr>
              <w:t>ОКПО – 382684845000</w:t>
            </w:r>
          </w:p>
        </w:tc>
        <w:tc>
          <w:tcPr>
            <w:tcW w:w="709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 w:firstLine="720"/>
              <w:jc w:val="left"/>
            </w:pPr>
          </w:p>
        </w:tc>
        <w:tc>
          <w:tcPr>
            <w:tcW w:w="4219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 w:firstLine="720"/>
              <w:jc w:val="left"/>
            </w:pPr>
          </w:p>
        </w:tc>
      </w:tr>
    </w:tbl>
    <w:p>
      <w:pPr>
        <w:pStyle w:val="44"/>
        <w:tabs>
          <w:tab w:val="left" w:pos="1134"/>
        </w:tabs>
        <w:spacing w:before="120" w:after="120" w:line="228" w:lineRule="auto"/>
        <w:ind w:left="-720" w:firstLine="720"/>
        <w:rPr>
          <w:sz w:val="2"/>
          <w:szCs w:val="2"/>
        </w:rPr>
      </w:pPr>
    </w:p>
    <w:tbl>
      <w:tblPr>
        <w:tblStyle w:val="3"/>
        <w:tblW w:w="976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418"/>
        <w:gridCol w:w="554"/>
        <w:gridCol w:w="571"/>
        <w:gridCol w:w="1133"/>
        <w:gridCol w:w="222"/>
        <w:gridCol w:w="948"/>
        <w:gridCol w:w="1089"/>
        <w:gridCol w:w="875"/>
        <w:gridCol w:w="676"/>
        <w:gridCol w:w="544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4375" w:type="dxa"/>
            <w:gridSpan w:val="6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right="0" w:firstLine="0"/>
            </w:pPr>
            <w:r>
              <w:rPr>
                <w:sz w:val="22"/>
              </w:rPr>
              <w:t>От Владельца:</w:t>
            </w:r>
          </w:p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</w:p>
        </w:tc>
        <w:tc>
          <w:tcPr>
            <w:tcW w:w="988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>
            <w:pPr>
              <w:tabs>
                <w:tab w:val="left" w:pos="5103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402" w:type="dxa"/>
            <w:gridSpan w:val="5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  <w:bookmarkStart w:id="0" w:name="_GoBack"/>
            <w:bookmarkEnd w:id="0"/>
            <w:r>
              <w:rPr>
                <w:sz w:val="22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4375" w:type="dxa"/>
            <w:gridSpan w:val="6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rPr>
                <w:rFonts w:ascii="Times New Roman" w:hAnsi="Times New Roman" w:eastAsia="Calibri" w:cs="Times New Roman"/>
                <w:sz w:val="22"/>
                <w:szCs w:val="22"/>
                <w:lang w:val="ru-RU" w:eastAsia="zh-CN" w:bidi="ar-SA"/>
              </w:rPr>
            </w:pPr>
            <w:r>
              <w:rPr>
                <w:sz w:val="22"/>
              </w:rPr>
              <w:t xml:space="preserve">Начальник отдела по </w:t>
            </w:r>
            <w:r>
              <w:rPr>
                <w:sz w:val="22"/>
                <w:lang w:val="ru-RU"/>
              </w:rPr>
              <w:t>Гомельской</w:t>
            </w:r>
            <w:r>
              <w:rPr>
                <w:rFonts w:hint="default"/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области Управления развития региональной сети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4402" w:type="dxa"/>
            <w:gridSpan w:val="5"/>
            <w:shd w:val="clear" w:color="auto" w:fill="auto"/>
            <w:vAlign w:val="top"/>
          </w:tcPr>
          <w:p>
            <w:pPr>
              <w:ind w:left="0" w:leftChars="0" w:right="0" w:rightChars="0" w:firstLine="0" w:firstLineChars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375" w:type="dxa"/>
            <w:gridSpan w:val="6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right="0" w:firstLine="0"/>
              <w:jc w:val="right"/>
              <w:rPr>
                <w:sz w:val="22"/>
              </w:rPr>
            </w:pPr>
          </w:p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Calibri" w:cs="Times New Roman"/>
                <w:sz w:val="30"/>
                <w:lang w:val="ru-RU" w:eastAsia="zh-CN" w:bidi="ar-SA"/>
              </w:rPr>
            </w:pPr>
            <w:r>
              <w:rPr>
                <w:sz w:val="22"/>
              </w:rPr>
              <w:t>А.</w:t>
            </w:r>
            <w:r>
              <w:rPr>
                <w:sz w:val="22"/>
                <w:lang w:val="ru-RU"/>
              </w:rPr>
              <w:t>О</w:t>
            </w:r>
            <w:r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Поршнев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4402" w:type="dxa"/>
            <w:gridSpan w:val="5"/>
            <w:shd w:val="clear" w:color="auto" w:fill="auto"/>
            <w:vAlign w:val="top"/>
          </w:tcPr>
          <w:p>
            <w:pPr>
              <w:ind w:left="0" w:leftChars="0" w:right="0" w:rightChars="0" w:firstLine="0" w:firstLineChars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99" w:type="dxa"/>
            <w:gridSpan w:val="2"/>
            <w:tcBorders>
              <w:bottom w:val="dotted" w:color="000000" w:sz="4" w:space="0"/>
            </w:tcBorders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</w:p>
        </w:tc>
        <w:tc>
          <w:tcPr>
            <w:tcW w:w="557" w:type="dxa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</w:p>
        </w:tc>
        <w:tc>
          <w:tcPr>
            <w:tcW w:w="1719" w:type="dxa"/>
            <w:gridSpan w:val="3"/>
            <w:tcBorders>
              <w:top w:val="dotted" w:color="000000" w:sz="4" w:space="0"/>
            </w:tcBorders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  <w:r>
              <w:rPr>
                <w:color w:val="A6A6A6"/>
                <w:sz w:val="16"/>
              </w:rPr>
              <w:t>И.О.Фамилия</w:t>
            </w:r>
          </w:p>
        </w:tc>
        <w:tc>
          <w:tcPr>
            <w:tcW w:w="988" w:type="dxa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2040" w:type="dxa"/>
            <w:gridSpan w:val="2"/>
            <w:tcBorders>
              <w:bottom w:val="dotted" w:color="000000" w:sz="4" w:space="0"/>
            </w:tcBorders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</w:p>
        </w:tc>
        <w:tc>
          <w:tcPr>
            <w:tcW w:w="685" w:type="dxa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</w:p>
        </w:tc>
        <w:tc>
          <w:tcPr>
            <w:tcW w:w="1677" w:type="dxa"/>
            <w:gridSpan w:val="2"/>
            <w:tcBorders>
              <w:top w:val="dotted" w:color="000000" w:sz="4" w:space="0"/>
            </w:tcBorders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  <w:r>
              <w:rPr>
                <w:color w:val="A6A6A6"/>
                <w:sz w:val="16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375" w:type="dxa"/>
            <w:gridSpan w:val="6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  <w:r>
              <w:rPr>
                <w:color w:val="A6A6A6"/>
                <w:sz w:val="14"/>
              </w:rPr>
              <w:t>Подпись/место для печати</w:t>
            </w:r>
          </w:p>
        </w:tc>
        <w:tc>
          <w:tcPr>
            <w:tcW w:w="988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</w:pPr>
          </w:p>
        </w:tc>
        <w:tc>
          <w:tcPr>
            <w:tcW w:w="4402" w:type="dxa"/>
            <w:gridSpan w:val="5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  <w:r>
              <w:rPr>
                <w:color w:val="A6A6A6"/>
                <w:sz w:val="14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66" w:type="dxa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2709" w:type="dxa"/>
            <w:gridSpan w:val="5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  <w:r>
              <w:rPr>
                <w:sz w:val="22"/>
              </w:rPr>
              <w:t xml:space="preserve">”    “                    </w:t>
            </w:r>
            <w:r>
              <w:rPr>
                <w:rFonts w:hint="default"/>
                <w:sz w:val="22"/>
                <w:lang w:val="ru-RU"/>
              </w:rPr>
              <w:t xml:space="preserve">         2021 </w:t>
            </w:r>
            <w:r>
              <w:rPr>
                <w:sz w:val="22"/>
              </w:rPr>
              <w:t>г.</w:t>
            </w:r>
          </w:p>
        </w:tc>
        <w:tc>
          <w:tcPr>
            <w:tcW w:w="988" w:type="dxa"/>
            <w:vMerge w:val="continue"/>
            <w:shd w:val="clear" w:color="auto" w:fill="auto"/>
          </w:tcPr>
          <w:p/>
        </w:tc>
        <w:tc>
          <w:tcPr>
            <w:tcW w:w="1135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67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</w:pPr>
            <w:r>
              <w:rPr>
                <w:sz w:val="22"/>
              </w:rPr>
              <w:t xml:space="preserve">”    “                    </w:t>
            </w:r>
            <w:r>
              <w:rPr>
                <w:rFonts w:hint="default"/>
                <w:sz w:val="22"/>
                <w:lang w:val="ru-RU"/>
              </w:rPr>
              <w:t xml:space="preserve">            2021 </w:t>
            </w:r>
            <w:r>
              <w:rPr>
                <w:sz w:val="22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234" w:type="dxa"/>
            <w:gridSpan w:val="4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center"/>
            </w:pPr>
            <w:r>
              <w:rPr>
                <w:color w:val="A6A6A6"/>
                <w:sz w:val="16"/>
              </w:rPr>
              <w:t xml:space="preserve">                                                              Дата</w:t>
            </w:r>
          </w:p>
        </w:tc>
        <w:tc>
          <w:tcPr>
            <w:tcW w:w="1138" w:type="dxa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center"/>
            </w:pPr>
          </w:p>
        </w:tc>
        <w:tc>
          <w:tcPr>
            <w:tcW w:w="0" w:type="auto"/>
            <w:shd w:val="clear" w:color="auto" w:fill="auto"/>
          </w:tcPr>
          <w:p>
            <w:pPr>
              <w:tabs>
                <w:tab w:val="left" w:pos="5103"/>
              </w:tabs>
              <w:jc w:val="center"/>
            </w:pPr>
          </w:p>
        </w:tc>
        <w:tc>
          <w:tcPr>
            <w:tcW w:w="988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</w:pPr>
          </w:p>
        </w:tc>
        <w:tc>
          <w:tcPr>
            <w:tcW w:w="3269" w:type="dxa"/>
            <w:gridSpan w:val="4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center"/>
            </w:pPr>
            <w:r>
              <w:rPr>
                <w:color w:val="A6A6A6"/>
                <w:sz w:val="16"/>
              </w:rPr>
              <w:t xml:space="preserve">                                                 Дата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tabs>
                <w:tab w:val="left" w:pos="5103"/>
              </w:tabs>
              <w:ind w:left="0" w:leftChars="0" w:right="0" w:rightChars="0" w:firstLine="0" w:firstLineChars="0"/>
              <w:jc w:val="right"/>
            </w:pPr>
          </w:p>
        </w:tc>
      </w:tr>
    </w:tbl>
    <w:p>
      <w:pPr>
        <w:pStyle w:val="44"/>
        <w:tabs>
          <w:tab w:val="left" w:pos="1134"/>
        </w:tabs>
        <w:spacing w:before="120" w:after="120" w:line="228" w:lineRule="auto"/>
        <w:ind w:left="-720" w:firstLine="720"/>
      </w:pPr>
    </w:p>
    <w:sectPr>
      <w:headerReference r:id="rId3" w:type="default"/>
      <w:pgSz w:w="11906" w:h="16838"/>
      <w:pgMar w:top="672" w:right="567" w:bottom="6" w:left="1701" w:header="284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CC"/>
    <w:family w:val="roman"/>
    <w:pitch w:val="default"/>
    <w:sig w:usb0="FFFFFFFF" w:usb1="E9FFFFFF" w:usb2="0000003F" w:usb3="00000000" w:csb0="603F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A7CAA"/>
    <w:rsid w:val="13F90E8D"/>
    <w:rsid w:val="5E944720"/>
    <w:rsid w:val="67AE3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both"/>
    </w:pPr>
    <w:rPr>
      <w:rFonts w:ascii="Times New Roman" w:hAnsi="Times New Roman" w:eastAsia="Calibri" w:cs="Times New Roman"/>
      <w:color w:val="00000A"/>
      <w:kern w:val="0"/>
      <w:sz w:val="30"/>
      <w:szCs w:val="20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List"/>
    <w:basedOn w:val="5"/>
    <w:qFormat/>
    <w:uiPriority w:val="0"/>
    <w:rPr>
      <w:rFonts w:cs="Mangal"/>
    </w:rPr>
  </w:style>
  <w:style w:type="paragraph" w:styleId="7">
    <w:name w:val="Normal (Web)"/>
    <w:basedOn w:val="1"/>
    <w:qFormat/>
    <w:uiPriority w:val="0"/>
    <w:pPr>
      <w:shd w:val="solid" w:color="FFFFFF" w:fill="auto"/>
      <w:spacing w:before="280" w:after="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8">
    <w:name w:val="WW8Num1z0"/>
    <w:qFormat/>
    <w:uiPriority w:val="0"/>
    <w:rPr>
      <w:rFonts w:cs="Times New Roman"/>
    </w:rPr>
  </w:style>
  <w:style w:type="character" w:customStyle="1" w:styleId="9">
    <w:name w:val="WW8Num2z0"/>
    <w:qFormat/>
    <w:uiPriority w:val="0"/>
  </w:style>
  <w:style w:type="character" w:customStyle="1" w:styleId="10">
    <w:name w:val="WW8Num2z1"/>
    <w:qFormat/>
    <w:uiPriority w:val="0"/>
  </w:style>
  <w:style w:type="character" w:customStyle="1" w:styleId="11">
    <w:name w:val="WW8Num2z2"/>
    <w:qFormat/>
    <w:uiPriority w:val="0"/>
  </w:style>
  <w:style w:type="character" w:customStyle="1" w:styleId="12">
    <w:name w:val="WW8Num2z3"/>
    <w:qFormat/>
    <w:uiPriority w:val="0"/>
  </w:style>
  <w:style w:type="character" w:customStyle="1" w:styleId="13">
    <w:name w:val="WW8Num2z4"/>
    <w:qFormat/>
    <w:uiPriority w:val="0"/>
  </w:style>
  <w:style w:type="character" w:customStyle="1" w:styleId="14">
    <w:name w:val="WW8Num2z5"/>
    <w:qFormat/>
    <w:uiPriority w:val="0"/>
  </w:style>
  <w:style w:type="character" w:customStyle="1" w:styleId="15">
    <w:name w:val="WW8Num2z6"/>
    <w:qFormat/>
    <w:uiPriority w:val="0"/>
  </w:style>
  <w:style w:type="character" w:customStyle="1" w:styleId="16">
    <w:name w:val="WW8Num2z7"/>
    <w:qFormat/>
    <w:uiPriority w:val="0"/>
  </w:style>
  <w:style w:type="character" w:customStyle="1" w:styleId="17">
    <w:name w:val="WW8Num2z8"/>
    <w:qFormat/>
    <w:uiPriority w:val="0"/>
  </w:style>
  <w:style w:type="character" w:customStyle="1" w:styleId="18">
    <w:name w:val="Основной шрифт абзаца3"/>
    <w:qFormat/>
    <w:uiPriority w:val="0"/>
  </w:style>
  <w:style w:type="character" w:customStyle="1" w:styleId="19">
    <w:name w:val="Основной шрифт абзаца2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Основной шрифт абзаца1"/>
    <w:qFormat/>
    <w:uiPriority w:val="0"/>
  </w:style>
  <w:style w:type="character" w:customStyle="1" w:styleId="28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29">
    <w:name w:val="Символ сноски"/>
    <w:qFormat/>
    <w:uiPriority w:val="0"/>
    <w:rPr>
      <w:vertAlign w:val="superscript"/>
    </w:rPr>
  </w:style>
  <w:style w:type="character" w:customStyle="1" w:styleId="30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31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32">
    <w:name w:val="Интернет-ссылка"/>
    <w:qFormat/>
    <w:uiPriority w:val="0"/>
    <w:rPr>
      <w:color w:val="00007F"/>
      <w:u w:val="single" w:color="FFFFFF"/>
    </w:rPr>
  </w:style>
  <w:style w:type="character" w:customStyle="1" w:styleId="33">
    <w:name w:val="Символ концевой сноски"/>
    <w:qFormat/>
    <w:uiPriority w:val="0"/>
  </w:style>
  <w:style w:type="paragraph" w:customStyle="1" w:styleId="34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5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6">
    <w:name w:val="Указатель11"/>
    <w:basedOn w:val="1"/>
    <w:qFormat/>
    <w:uiPriority w:val="0"/>
    <w:pPr>
      <w:suppressLineNumbers/>
    </w:pPr>
    <w:rPr>
      <w:rFonts w:cs="Arial Unicode MS"/>
    </w:rPr>
  </w:style>
  <w:style w:type="paragraph" w:customStyle="1" w:styleId="37">
    <w:name w:val="Index Heading"/>
    <w:basedOn w:val="1"/>
    <w:qFormat/>
    <w:uiPriority w:val="0"/>
    <w:pPr>
      <w:suppressLineNumbers/>
    </w:pPr>
    <w:rPr>
      <w:rFonts w:cs="Arial Unicode MS"/>
    </w:rPr>
  </w:style>
  <w:style w:type="paragraph" w:customStyle="1" w:styleId="38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39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1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43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44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45">
    <w:name w:val="Body Text Indent 21"/>
    <w:basedOn w:val="1"/>
    <w:qFormat/>
    <w:uiPriority w:val="0"/>
    <w:pPr>
      <w:spacing w:before="0" w:after="0"/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46">
    <w:name w:val="Default"/>
    <w:qFormat/>
    <w:uiPriority w:val="0"/>
    <w:pPr>
      <w:widowControl/>
      <w:suppressAutoHyphens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customStyle="1" w:styleId="47">
    <w:name w:val="Footnote Text"/>
    <w:basedOn w:val="1"/>
    <w:qFormat/>
    <w:uiPriority w:val="0"/>
    <w:rPr>
      <w:sz w:val="20"/>
    </w:rPr>
  </w:style>
  <w:style w:type="paragraph" w:customStyle="1" w:styleId="48">
    <w:name w:val="Header"/>
    <w:basedOn w:val="1"/>
    <w:qFormat/>
    <w:uiPriority w:val="0"/>
    <w:rPr>
      <w:sz w:val="20"/>
    </w:rPr>
  </w:style>
  <w:style w:type="paragraph" w:customStyle="1" w:styleId="49">
    <w:name w:val="Footer"/>
    <w:basedOn w:val="1"/>
    <w:qFormat/>
    <w:uiPriority w:val="0"/>
    <w:rPr>
      <w:sz w:val="20"/>
    </w:rPr>
  </w:style>
  <w:style w:type="paragraph" w:customStyle="1" w:styleId="50">
    <w:name w:val="Содержимое таблицы"/>
    <w:basedOn w:val="1"/>
    <w:qFormat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paragraph" w:customStyle="1" w:styleId="52">
    <w:name w:val="Comment Text"/>
    <w:basedOn w:val="1"/>
    <w:qFormat/>
    <w:uiPriority w:val="0"/>
    <w:pPr>
      <w:jc w:val="left"/>
    </w:pPr>
    <w:rPr>
      <w:rFonts w:ascii="Calibri" w:hAnsi="Calibri" w:cs="Calibri"/>
      <w:kern w:val="2"/>
      <w:sz w:val="20"/>
    </w:rPr>
  </w:style>
  <w:style w:type="paragraph" w:customStyle="1" w:styleId="53">
    <w:name w:val="Comment Subject"/>
    <w:basedOn w:val="5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747</Words>
  <Characters>5483</Characters>
  <Paragraphs>55</Paragraphs>
  <TotalTime>0</TotalTime>
  <ScaleCrop>false</ScaleCrop>
  <LinksUpToDate>false</LinksUpToDate>
  <CharactersWithSpaces>6329</CharactersWithSpaces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2020-04-09T14:36:00Z</dcterms:created>
  <dc:creator>chernov</dc:creator>
  <cp:lastModifiedBy>a.porshnev</cp:lastModifiedBy>
  <cp:lastPrinted>2016-07-22T08:05:00Z</cp:lastPrinted>
  <dcterms:modified xsi:type="dcterms:W3CDTF">2021-03-31T12:00:43Z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1049-11.2.0.10078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